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1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1"/>
              <w:jc w:val="center"/>
              <w:rPr>
                <w:b/>
                <w:i/>
                <w:color w:val="000000"/>
              </w:rPr>
            </w:pPr>
            <w:bookmarkStart w:id="0" w:name="_GoBack"/>
            <w:bookmarkEnd w:id="0"/>
            <w:r>
              <w:rPr>
                <w:b/>
                <w:i/>
                <w:color w:val="000000"/>
              </w:rPr>
              <w:t>Возраст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6-7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1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Особенности возрастного периода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Возрастной перелом (кризис)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Социально-педагогическая ситуация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Меняющаяся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Основные задачи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Полноценная социально – психологическая адаптация к новой ситуации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Перспективные з</w:t>
            </w:r>
            <w:r>
              <w:rPr>
                <w:b/>
                <w:i/>
                <w:sz w:val="22"/>
              </w:rPr>
              <w:t>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Развитие интеллектуальных возможностей, в частности – логического мышления, освоение культурного опыта. Формирование чувства полноценности – умелости, прежде всего – в предметной деятельности и общении со значимыми взрослыми. Развитие произв</w:t>
            </w:r>
            <w:r>
              <w:rPr>
                <w:sz w:val="22"/>
              </w:rPr>
              <w:t xml:space="preserve">ольности, способности ориентироваться на сложную систему социальных требований новой среды. 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 xml:space="preserve"> решению этих задач в первом классе можно приступать на фоне успешной адаптации, при постоянной поддерживающей профилактической работе.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</w:t>
            </w:r>
            <w:r>
              <w:rPr>
                <w:b/>
                <w:i/>
                <w:sz w:val="22"/>
              </w:rPr>
              <w:t>ожными отклонениями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 xml:space="preserve">Возможны нарушения в мотивационно – личностной сфере, связанные с возникновением и закреплением чувства неполноценности (неумелости), агрессивно-конкурентной установкой в общении, разрушением познавательной мотивации, ориентацией не на </w:t>
            </w:r>
            <w:r>
              <w:rPr>
                <w:sz w:val="22"/>
              </w:rPr>
              <w:t>реальный мир, а на мир фантазий.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возможным регрессом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Возможен регресс на предшествующую стадию возрастного развития, фиксация на семье или других значимых взрослых (демонстрация сверхзависимого поведения), снижение способности к прои</w:t>
            </w:r>
            <w:r>
              <w:rPr>
                <w:sz w:val="22"/>
              </w:rPr>
              <w:t>звольному контролю поведения и психических процессов, школьная дезадаптация.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5" w:type="dxa"/>
            <w:gridSpan w:val="3"/>
          </w:tcPr>
          <w:p w:rsidR="00000000" w:rsidRDefault="002038CB">
            <w:pPr>
              <w:pStyle w:val="2"/>
              <w:jc w:val="center"/>
              <w:rPr>
                <w:i/>
              </w:rPr>
            </w:pPr>
            <w:r>
              <w:rPr>
                <w:i/>
              </w:rPr>
              <w:t>Направления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Профилактика отклонений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Диагностика эмоционального состояния первоклассников групповая и индивидуальная работа, направленная на развитие нав</w:t>
            </w:r>
            <w:r>
              <w:rPr>
                <w:sz w:val="22"/>
              </w:rPr>
              <w:t>ыков конструктивного общения, опыта сотрудничества. Формирование уверенности в себе, адекватной самооценки в предметной деятельности вообще и учебной – в особенности. Формирование навыков саморегуляции, снятие страхов и эмоционального напряжения.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Работа </w:t>
            </w:r>
            <w:r>
              <w:rPr>
                <w:b/>
                <w:i/>
                <w:sz w:val="22"/>
              </w:rPr>
              <w:t>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Помощь учителю в создании условий обучения, соответствующих интеллектуальным и эмоционально – волевым возможностям детей. Создание ситуации успеха в предметной и учебной деятельности для каждого ребенка. Ориентация уче</w:t>
            </w:r>
            <w:r>
              <w:rPr>
                <w:sz w:val="22"/>
              </w:rPr>
              <w:t xml:space="preserve">бного процесса не на подачу новых знаний, а на закрепление навыков и приемов, необходимых для успешного обучения. Просвещение педагогов и родителей по вопросам возрастных особенностей их детей.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Коррекция случаев ребенка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 xml:space="preserve">Преимущественно </w:t>
            </w:r>
            <w:r>
              <w:rPr>
                <w:sz w:val="22"/>
              </w:rPr>
              <w:t>– работа, предполагающая возврат к игре и проживание в коллективной или индивидуальной игре эмоциональных проблем.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Создание щадящего учебного режима, постоянная эмоциональная поддержка ребенка, соблюдение режи</w:t>
            </w:r>
            <w:r>
              <w:rPr>
                <w:sz w:val="22"/>
              </w:rPr>
              <w:t>ма дня и отдыха вне школы. Семейное консультирование. В отдельных случаях – обсуждение вопроса о целесообразности обучения ребенка в текущем учебном году.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Развитие возрастных возможностей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Групповые (преимущественно) формы работы по разви</w:t>
            </w:r>
            <w:r>
              <w:rPr>
                <w:sz w:val="22"/>
              </w:rPr>
              <w:t>тию образного и логического мышления, воображения, формированию новой позиции в общении. Развитие способности к децентрации, эмпатии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Создание учебной ситуации, способствующей удовлетворению познавательных потр</w:t>
            </w:r>
            <w:r>
              <w:rPr>
                <w:sz w:val="22"/>
              </w:rPr>
              <w:t xml:space="preserve">ебностей детей, развитию </w:t>
            </w:r>
            <w:r>
              <w:rPr>
                <w:sz w:val="22"/>
              </w:rPr>
              <w:t>логического</w:t>
            </w:r>
            <w:r>
              <w:rPr>
                <w:sz w:val="22"/>
              </w:rPr>
              <w:t xml:space="preserve"> и образного мышления. Использование групповых форм учебной деятельности</w:t>
            </w:r>
          </w:p>
        </w:tc>
      </w:tr>
    </w:tbl>
    <w:p w:rsidR="00000000" w:rsidRDefault="002038C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1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1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lastRenderedPageBreak/>
              <w:t>Возраст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7-10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3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Класс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2-4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Особенности возрастного периода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табильное </w:t>
            </w:r>
            <w:r>
              <w:rPr>
                <w:sz w:val="22"/>
              </w:rPr>
              <w:t>психическо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развитие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Социально-педагогическая ситуация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табильная</w:t>
            </w:r>
            <w:r>
              <w:rPr>
                <w:sz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Основные задачи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познавательных возможностей детей, прежде всего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образного </w:t>
            </w:r>
            <w:r>
              <w:rPr>
                <w:sz w:val="22"/>
              </w:rPr>
              <w:t xml:space="preserve">и логического мышления, формирование </w:t>
            </w:r>
            <w:r>
              <w:rPr>
                <w:sz w:val="22"/>
              </w:rPr>
              <w:t>социальной позиции школьника, формирование чувства полноцен</w:t>
            </w:r>
            <w:r>
              <w:rPr>
                <w:sz w:val="22"/>
              </w:rPr>
              <w:t xml:space="preserve">ности и умелости у каждого ребенка, овладение навыками конструктивного общения со </w:t>
            </w:r>
            <w:r>
              <w:rPr>
                <w:sz w:val="22"/>
              </w:rPr>
              <w:t>сверстниками</w:t>
            </w:r>
            <w:r>
              <w:rPr>
                <w:sz w:val="22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Перспективные з</w:t>
            </w:r>
            <w:r>
              <w:rPr>
                <w:b/>
                <w:i/>
                <w:sz w:val="22"/>
              </w:rPr>
              <w:t>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остижение </w:t>
            </w:r>
            <w:r>
              <w:rPr>
                <w:sz w:val="22"/>
              </w:rPr>
              <w:t>детьми такого уровня социальной и личностной зрелости, который бы позволил детям успешно занять новую социальную позицию в среднем звене, развитие мы</w:t>
            </w:r>
            <w:r>
              <w:rPr>
                <w:sz w:val="22"/>
              </w:rPr>
              <w:t>слительной гибкости, способности приспосабливаться к различным системам учебных требований, формирование навыков контроля и самоконтроля в учебной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</w:t>
            </w:r>
            <w:r>
              <w:rPr>
                <w:b/>
                <w:i/>
                <w:sz w:val="22"/>
              </w:rPr>
              <w:t>ожными отклонениями</w:t>
            </w:r>
          </w:p>
        </w:tc>
        <w:tc>
          <w:tcPr>
            <w:tcW w:w="6946" w:type="dxa"/>
          </w:tcPr>
          <w:p w:rsidR="00000000" w:rsidRDefault="002038CB">
            <w:r>
              <w:t>В</w:t>
            </w:r>
            <w:r>
              <w:t xml:space="preserve">озможно </w:t>
            </w:r>
            <w:r>
              <w:t xml:space="preserve">комплексное психолого-педагогическое нарушение, </w:t>
            </w:r>
            <w:r>
              <w:t>«хроническая школьная неуспешность</w:t>
            </w:r>
            <w:r>
              <w:t>», с</w:t>
            </w:r>
            <w:r>
              <w:t xml:space="preserve">нижение учебной мотивации и самооценки, неэффективная учебная деятельность, нарушения поведения. </w:t>
            </w:r>
            <w:r>
              <w:t>П</w:t>
            </w:r>
            <w:r>
              <w:t xml:space="preserve">од </w:t>
            </w:r>
            <w:r>
              <w:t>воздействием чувства неполноценности (неумелости) возможны психосоматические и невротические нарушения.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возможным регрессом</w:t>
            </w:r>
          </w:p>
        </w:tc>
        <w:tc>
          <w:tcPr>
            <w:tcW w:w="6946" w:type="dxa"/>
          </w:tcPr>
          <w:p w:rsidR="00000000" w:rsidRDefault="002038CB">
            <w:r>
              <w:t>П</w:t>
            </w:r>
            <w:r>
              <w:t xml:space="preserve">ри </w:t>
            </w:r>
            <w:r>
              <w:t>хронической школьной неуспешности все еще возмо</w:t>
            </w:r>
            <w:r>
              <w:t xml:space="preserve">жен регресс на стадию дошкольного детства. </w:t>
            </w:r>
            <w:r>
              <w:t>Ч</w:t>
            </w:r>
            <w:r>
              <w:t xml:space="preserve">асто </w:t>
            </w:r>
            <w:r>
              <w:t xml:space="preserve">неуспешность вызывает состояние школьной дезадаптации, как </w:t>
            </w:r>
            <w:r>
              <w:t>первом</w:t>
            </w:r>
            <w:r>
              <w:t xml:space="preserve"> классе.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5" w:type="dxa"/>
            <w:gridSpan w:val="3"/>
          </w:tcPr>
          <w:p w:rsidR="00000000" w:rsidRDefault="002038CB">
            <w:pPr>
              <w:pStyle w:val="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Направления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Профилактика отклонений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r>
              <w:t>В</w:t>
            </w:r>
            <w:r>
              <w:t xml:space="preserve">ыделение </w:t>
            </w:r>
            <w:r>
              <w:t xml:space="preserve">индивидуальных особенностей познавательной деятельности, контроль эмоционального состояния детей. </w:t>
            </w:r>
            <w:r>
              <w:t>И</w:t>
            </w:r>
            <w:r>
              <w:t xml:space="preserve">ндивидуальная </w:t>
            </w:r>
            <w:r>
              <w:t>и группов</w:t>
            </w:r>
            <w:r>
              <w:t xml:space="preserve">ая работа, направленная на развитие слабо </w:t>
            </w:r>
            <w:r>
              <w:t>функционирующих</w:t>
            </w:r>
            <w:r>
              <w:t xml:space="preserve"> психических процессов или на их компенсацию. </w:t>
            </w:r>
            <w:r>
              <w:t>Психотерапевтическая</w:t>
            </w:r>
            <w:r>
              <w:t xml:space="preserve"> </w:t>
            </w:r>
            <w:r>
              <w:t>работа по индивидуальным запросам.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Работа </w:t>
            </w:r>
            <w:r>
              <w:rPr>
                <w:b/>
                <w:i/>
                <w:sz w:val="22"/>
              </w:rPr>
              <w:t>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r>
              <w:t>П</w:t>
            </w:r>
            <w:r>
              <w:t xml:space="preserve">остроение </w:t>
            </w:r>
            <w:r>
              <w:t xml:space="preserve">учебного процесса с учетом индивидуальных особенностей </w:t>
            </w:r>
            <w:r>
              <w:t>познавательной</w:t>
            </w:r>
            <w:r>
              <w:t xml:space="preserve"> деятельности уча</w:t>
            </w:r>
            <w:r>
              <w:t xml:space="preserve">щихся. </w:t>
            </w:r>
            <w:r>
              <w:t>С</w:t>
            </w:r>
            <w:r>
              <w:t xml:space="preserve">оздание </w:t>
            </w:r>
            <w:r>
              <w:t xml:space="preserve">ситуаций успеха в учебной деятельности для каждого ребенка. </w:t>
            </w:r>
            <w:r>
              <w:t>П</w:t>
            </w:r>
            <w:r>
              <w:t xml:space="preserve">оддержка </w:t>
            </w:r>
            <w:r>
              <w:t>чувства полноценности в учебной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Коррекция случаев ребенка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r>
              <w:t>Комплексная</w:t>
            </w:r>
            <w:r>
              <w:t xml:space="preserve"> </w:t>
            </w:r>
            <w:r>
              <w:t xml:space="preserve">психолого-педагогическая работа, </w:t>
            </w:r>
            <w:r>
              <w:t>направленная,</w:t>
            </w:r>
            <w:r>
              <w:t xml:space="preserve"> </w:t>
            </w:r>
            <w:r>
              <w:t>прежде</w:t>
            </w:r>
            <w:r>
              <w:t xml:space="preserve"> всего на достижение успеха, в </w:t>
            </w:r>
            <w:r>
              <w:t xml:space="preserve">частности </w:t>
            </w:r>
            <w:r>
              <w:t>–</w:t>
            </w:r>
            <w:r>
              <w:t xml:space="preserve"> в </w:t>
            </w:r>
            <w:r>
              <w:t>учебной деятел</w:t>
            </w:r>
            <w:r>
              <w:t xml:space="preserve">ьности. </w:t>
            </w:r>
            <w:r>
              <w:t>Т</w:t>
            </w:r>
            <w:r>
              <w:t xml:space="preserve">акая </w:t>
            </w:r>
            <w:r>
              <w:t>работа должна проходить на фоне психологической поддержки решения эмоциональных проблем.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</w:t>
            </w:r>
            <w:r>
              <w:rPr>
                <w:b/>
                <w:i/>
                <w:sz w:val="22"/>
              </w:rPr>
              <w:t>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r>
              <w:t>А</w:t>
            </w:r>
            <w:r>
              <w:t xml:space="preserve">нализ </w:t>
            </w:r>
            <w:r>
              <w:t>и корректирование различных аспектов учебного про</w:t>
            </w:r>
            <w:r>
              <w:t xml:space="preserve">цесса </w:t>
            </w:r>
            <w:r>
              <w:t xml:space="preserve"> с точки зрения его деструктивного влияния: эмоциональные перегрузки, по</w:t>
            </w:r>
            <w:r>
              <w:t>вышенные требования к мыслительным или волевым возможностям психики ребенка, игнорирование индивидуальных особенностей, отсутствие эмоциональной поддержки и т.д.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Развитие возрастных возможностей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r>
              <w:t>П</w:t>
            </w:r>
            <w:r>
              <w:t xml:space="preserve">роведение </w:t>
            </w:r>
            <w:r>
              <w:t>работы, направленной на осознание детьми индивидуальных особенностей учебной деятел</w:t>
            </w:r>
            <w:r>
              <w:t xml:space="preserve">ьности, формирование индивидуального стиля деятельности. </w:t>
            </w:r>
            <w:r>
              <w:t>Р</w:t>
            </w:r>
            <w:r>
              <w:t xml:space="preserve">азвитие </w:t>
            </w:r>
            <w:r>
              <w:t xml:space="preserve">навыков конструктивного общения, </w:t>
            </w:r>
            <w:r>
              <w:t>совместного</w:t>
            </w:r>
            <w:r>
              <w:t xml:space="preserve"> решения проблем, расширение социального опыта детей. </w:t>
            </w:r>
            <w:r>
              <w:t>Р</w:t>
            </w:r>
            <w:r>
              <w:t xml:space="preserve">азвитие </w:t>
            </w:r>
            <w:r>
              <w:t>логического мышления, умения оперировать информацией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r>
              <w:t>С</w:t>
            </w:r>
            <w:r>
              <w:t xml:space="preserve">оздание </w:t>
            </w:r>
            <w:r>
              <w:t>в рамках учебного про</w:t>
            </w:r>
            <w:r>
              <w:t>цесса возможностей для развития логического мышления, освоение приемов логической переработки информации, развитие с</w:t>
            </w:r>
            <w:r>
              <w:t xml:space="preserve">амостоятельности детей в учебной и внеучебной деятельности. </w:t>
            </w:r>
            <w:r>
              <w:t>О</w:t>
            </w:r>
            <w:r>
              <w:t xml:space="preserve">риентация </w:t>
            </w:r>
            <w:r>
              <w:t>учебного процесса на созданные детьми индивидуальные особенности их п</w:t>
            </w:r>
            <w:r>
              <w:t xml:space="preserve">ознавательной деятельности. </w:t>
            </w:r>
            <w:r>
              <w:t>С</w:t>
            </w:r>
            <w:r>
              <w:t xml:space="preserve">оздание </w:t>
            </w:r>
            <w:r>
              <w:t xml:space="preserve">условий для совершения детьми нравственных выборов, </w:t>
            </w:r>
            <w:r>
              <w:t>сотрудничества</w:t>
            </w:r>
            <w:r>
              <w:t xml:space="preserve"> детей друг с другом и более старшими учениками. </w:t>
            </w:r>
            <w:r>
              <w:t>Р</w:t>
            </w:r>
            <w:r>
              <w:t xml:space="preserve">азработка </w:t>
            </w:r>
            <w:r>
              <w:t xml:space="preserve">системы мер, </w:t>
            </w:r>
            <w:r>
              <w:t>направленных</w:t>
            </w:r>
            <w:r>
              <w:t xml:space="preserve"> на успешную адаптацию детей в среднем звене: ориентация на си</w:t>
            </w:r>
            <w:r>
              <w:t xml:space="preserve">стему </w:t>
            </w:r>
            <w:r>
              <w:t>учебных</w:t>
            </w:r>
            <w:r>
              <w:t xml:space="preserve"> и социальных требований, принятых в средней школе, знакомство и учителями и</w:t>
            </w:r>
            <w:r>
              <w:t xml:space="preserve"> </w:t>
            </w:r>
            <w:r>
              <w:t>т.д.</w:t>
            </w:r>
          </w:p>
        </w:tc>
      </w:tr>
    </w:tbl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1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Возраст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10-12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5-6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Особенности возрастного периода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табильное </w:t>
            </w:r>
            <w:r>
              <w:rPr>
                <w:sz w:val="24"/>
              </w:rPr>
              <w:t>психическое развитие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Социально-педагогическая ситуация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еняющаяся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 задачи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tabs>
                <w:tab w:val="left" w:pos="2393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олноценная </w:t>
            </w:r>
            <w:r>
              <w:rPr>
                <w:sz w:val="24"/>
              </w:rPr>
              <w:t xml:space="preserve">социально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психологическая </w:t>
            </w:r>
            <w:r>
              <w:rPr>
                <w:sz w:val="24"/>
              </w:rPr>
              <w:t>адаптация к новой ситуации развития.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Перспективные з</w:t>
            </w:r>
            <w:r>
              <w:rPr>
                <w:b/>
                <w:i/>
                <w:sz w:val="22"/>
              </w:rPr>
              <w:t>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азвитие </w:t>
            </w:r>
            <w:r>
              <w:rPr>
                <w:sz w:val="22"/>
              </w:rPr>
              <w:t>новых возможност</w:t>
            </w:r>
            <w:r>
              <w:rPr>
                <w:sz w:val="22"/>
              </w:rPr>
              <w:t xml:space="preserve">ей мыслительной сферы психики, дальнейшее нравственное развитие: переход от догматической правильности к критической оценке и выработке индивидуальных норм поведения.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пособность </w:t>
            </w:r>
            <w:r>
              <w:rPr>
                <w:sz w:val="22"/>
              </w:rPr>
              <w:t>занять ответственную позицию в отношениях с п</w:t>
            </w:r>
            <w:r>
              <w:rPr>
                <w:sz w:val="22"/>
              </w:rPr>
              <w:t>едагогами и сверстниками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</w:t>
            </w:r>
            <w:r>
              <w:rPr>
                <w:b/>
                <w:i/>
                <w:sz w:val="22"/>
              </w:rPr>
              <w:t>ожными отклонениями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>озможн</w:t>
            </w:r>
            <w:r>
              <w:rPr>
                <w:sz w:val="22"/>
              </w:rPr>
              <w:t xml:space="preserve">ые </w:t>
            </w:r>
            <w:r>
              <w:rPr>
                <w:sz w:val="22"/>
              </w:rPr>
              <w:t>нарушения,</w:t>
            </w:r>
            <w:r>
              <w:rPr>
                <w:sz w:val="22"/>
              </w:rPr>
              <w:t xml:space="preserve"> связанные с трудностями в среднем звене: недостаточная ориентация на новую систему социальных требований взрослых и сверстников, разрушение учебной мотивации, потеря положительного статуса в группе сверстников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возможным регрессом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озможен </w:t>
            </w:r>
            <w:r>
              <w:rPr>
                <w:sz w:val="22"/>
              </w:rPr>
              <w:t>возврат к более инфанти</w:t>
            </w:r>
            <w:r>
              <w:rPr>
                <w:sz w:val="22"/>
              </w:rPr>
              <w:t>льным эмо</w:t>
            </w:r>
            <w:r>
              <w:rPr>
                <w:sz w:val="22"/>
              </w:rPr>
              <w:t xml:space="preserve">циональным реакциям и формам общения со </w:t>
            </w:r>
            <w:r>
              <w:rPr>
                <w:sz w:val="22"/>
              </w:rPr>
              <w:t>сверстниками</w:t>
            </w:r>
            <w:r>
              <w:rPr>
                <w:sz w:val="22"/>
              </w:rPr>
              <w:t xml:space="preserve"> и взрослыми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t xml:space="preserve">принципу </w:t>
            </w:r>
            <w:r>
              <w:rPr>
                <w:sz w:val="22"/>
              </w:rPr>
              <w:t>«не хочу быть взрослым</w:t>
            </w:r>
            <w:r>
              <w:rPr>
                <w:sz w:val="22"/>
              </w:rP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5" w:type="dxa"/>
            <w:gridSpan w:val="3"/>
          </w:tcPr>
          <w:p w:rsidR="00000000" w:rsidRDefault="002038CB">
            <w:pPr>
              <w:pStyle w:val="2"/>
              <w:jc w:val="center"/>
              <w:rPr>
                <w:i/>
              </w:rPr>
            </w:pPr>
            <w:r>
              <w:rPr>
                <w:i/>
              </w:rPr>
              <w:t>Направления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Профилактика отклонений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иагностика </w:t>
            </w:r>
            <w:r>
              <w:rPr>
                <w:sz w:val="22"/>
              </w:rPr>
              <w:t xml:space="preserve">эмоционально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личностных </w:t>
            </w:r>
            <w:r>
              <w:rPr>
                <w:sz w:val="22"/>
              </w:rPr>
              <w:t>особенностей. Групповые (преимущественно</w:t>
            </w:r>
            <w:r>
              <w:rPr>
                <w:sz w:val="22"/>
              </w:rPr>
              <w:t>) ф</w:t>
            </w:r>
            <w:r>
              <w:rPr>
                <w:sz w:val="22"/>
              </w:rPr>
              <w:t>ормы работы, ориентированные на проживание детьми новой социал</w:t>
            </w:r>
            <w:r>
              <w:rPr>
                <w:sz w:val="22"/>
              </w:rPr>
              <w:t xml:space="preserve">ьной ситуации, построение системы связей друг с другом и значимыми взрослыми, освоение нового социального пространства.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азвитие </w:t>
            </w:r>
            <w:r>
              <w:rPr>
                <w:sz w:val="22"/>
              </w:rPr>
              <w:t>навыков</w:t>
            </w:r>
            <w:r>
              <w:rPr>
                <w:sz w:val="22"/>
              </w:rPr>
              <w:t xml:space="preserve"> конструктивного общения со взрослыми. 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иагностика </w:t>
            </w:r>
            <w:r>
              <w:rPr>
                <w:sz w:val="22"/>
              </w:rPr>
              <w:t xml:space="preserve">эмоциональных отношений в классе. </w:t>
            </w:r>
            <w:r>
              <w:rPr>
                <w:sz w:val="22"/>
              </w:rPr>
              <w:t>Ф</w:t>
            </w:r>
            <w:r>
              <w:rPr>
                <w:sz w:val="22"/>
              </w:rPr>
              <w:t xml:space="preserve">ормирование </w:t>
            </w:r>
            <w:r>
              <w:rPr>
                <w:sz w:val="22"/>
              </w:rPr>
              <w:t>сплоченного детского к</w:t>
            </w:r>
            <w:r>
              <w:rPr>
                <w:sz w:val="22"/>
              </w:rPr>
              <w:t>оллектива, создание общих ценностей и норм.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Работа </w:t>
            </w:r>
            <w:r>
              <w:rPr>
                <w:b/>
                <w:i/>
                <w:sz w:val="22"/>
              </w:rPr>
              <w:t>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>социально-педагогических ситуаций, позволяющих детям осознать и принять новую систему норм и правил общения и учебной деятельности: разработка единой системы требований и ее предъявление учащимися, откры</w:t>
            </w:r>
            <w:r>
              <w:rPr>
                <w:sz w:val="22"/>
              </w:rPr>
              <w:t>тое обсуждение всех во</w:t>
            </w:r>
            <w:r>
              <w:rPr>
                <w:sz w:val="22"/>
              </w:rPr>
              <w:t xml:space="preserve">зникающих конфликтов, деловые игры с учащимися и т.д. Создание буферного периода, в течение которого ученики находятся под опекой взрослых.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росвещение </w:t>
            </w:r>
            <w:r>
              <w:rPr>
                <w:sz w:val="22"/>
              </w:rPr>
              <w:t>педагогов и родителей по вопросам общения с младшими подростками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Коррекция случаев ребенка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бучение </w:t>
            </w:r>
            <w:r>
              <w:rPr>
                <w:sz w:val="22"/>
              </w:rPr>
              <w:t>навыкам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ответственного поведения.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 xml:space="preserve">рупповые </w:t>
            </w:r>
            <w:r>
              <w:rPr>
                <w:sz w:val="22"/>
              </w:rPr>
              <w:t>и индивидуальные занятия, позволяющие отреагировать чувства, получить новый опыт общения.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 xml:space="preserve">щадящего учебного режима.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нализ </w:t>
            </w:r>
            <w:r>
              <w:rPr>
                <w:sz w:val="22"/>
              </w:rPr>
              <w:t>социально- педагогической ситуации с точки зрения ее соответствия эмоциональным и волевы</w:t>
            </w:r>
            <w:r>
              <w:rPr>
                <w:sz w:val="22"/>
              </w:rPr>
              <w:t xml:space="preserve">м возможностям ребенка.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оддержка </w:t>
            </w:r>
            <w:r>
              <w:rPr>
                <w:sz w:val="22"/>
              </w:rPr>
              <w:t>самостоятельности в учебной деятельности и общественной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Развитие возрастных возможностей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 xml:space="preserve">рупповая </w:t>
            </w:r>
            <w:r>
              <w:rPr>
                <w:sz w:val="22"/>
              </w:rPr>
              <w:t xml:space="preserve">(преимущественно) работа по обучению навыкам общения и анализа социальных отношений. 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бучение </w:t>
            </w:r>
            <w:r>
              <w:rPr>
                <w:sz w:val="22"/>
              </w:rPr>
              <w:t xml:space="preserve">навыкам самоанализа в общении. Диагностика </w:t>
            </w:r>
            <w:r>
              <w:rPr>
                <w:sz w:val="22"/>
              </w:rPr>
              <w:t>умственного</w:t>
            </w:r>
            <w:r>
              <w:rPr>
                <w:sz w:val="22"/>
              </w:rPr>
              <w:t xml:space="preserve"> р</w:t>
            </w:r>
            <w:r>
              <w:rPr>
                <w:sz w:val="22"/>
              </w:rPr>
              <w:t>азвития, отслеживание его динамики.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 xml:space="preserve">условий для конструктивного общения школьников друг с другом и с педагогами в учебной и внеучебной ситуациях.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ереориентация </w:t>
            </w:r>
            <w:r>
              <w:rPr>
                <w:sz w:val="22"/>
              </w:rPr>
              <w:t>учебного процесса с передачи знаний на развитие мышления учащихся.</w:t>
            </w:r>
          </w:p>
        </w:tc>
      </w:tr>
    </w:tbl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1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Возраст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12-15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7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-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9</w:t>
            </w:r>
            <w:r>
              <w:rPr>
                <w:b/>
                <w:i/>
                <w:color w:val="000000"/>
                <w:sz w:val="24"/>
              </w:rPr>
              <w:t xml:space="preserve">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Особенности возрастного периода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озрастной </w:t>
            </w:r>
            <w:r>
              <w:rPr>
                <w:sz w:val="22"/>
              </w:rPr>
              <w:t>перелом (кризис)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Социально-педагогическая ситуация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табильная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Основные задачи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амоидентификация,</w:t>
            </w:r>
            <w:r>
              <w:rPr>
                <w:sz w:val="22"/>
              </w:rPr>
              <w:t xml:space="preserve"> нахождение Себя в Мире, развитое чувство самоуважения и самопринятия. Развитая способность к целеполаганию в учебной и других видах собственной деятельности.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азвитие </w:t>
            </w:r>
            <w:r>
              <w:rPr>
                <w:sz w:val="22"/>
              </w:rPr>
              <w:t>мыслительных способносте</w:t>
            </w:r>
            <w:r>
              <w:rPr>
                <w:sz w:val="22"/>
              </w:rPr>
              <w:t>й до уровня формальных операций (хотя бы в стадии их становления)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Перспективные з</w:t>
            </w:r>
            <w:r>
              <w:rPr>
                <w:b/>
                <w:i/>
                <w:sz w:val="22"/>
              </w:rPr>
              <w:t>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пределение </w:t>
            </w:r>
            <w:r>
              <w:rPr>
                <w:sz w:val="22"/>
              </w:rPr>
              <w:t>места своего Я в более широкой системе социальных связей и отношений, начало профессионального самоопределения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</w:t>
            </w:r>
            <w:r>
              <w:rPr>
                <w:b/>
                <w:i/>
                <w:sz w:val="22"/>
              </w:rPr>
              <w:t>ожными отклонениями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есь </w:t>
            </w:r>
            <w:r>
              <w:rPr>
                <w:sz w:val="22"/>
              </w:rPr>
              <w:t xml:space="preserve">спектр эмоционально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личностных </w:t>
            </w:r>
            <w:r>
              <w:rPr>
                <w:sz w:val="22"/>
              </w:rPr>
              <w:t>нарушений, связанных с потере</w:t>
            </w:r>
            <w:r>
              <w:rPr>
                <w:sz w:val="22"/>
              </w:rPr>
              <w:t xml:space="preserve">й чувства идентичности, депривацией потребности в признании, принятии интимно-личностном общении.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отеря </w:t>
            </w:r>
            <w:r>
              <w:rPr>
                <w:sz w:val="22"/>
              </w:rPr>
              <w:t xml:space="preserve">интереса к учебной деятельности. </w:t>
            </w:r>
            <w:r>
              <w:rPr>
                <w:sz w:val="22"/>
              </w:rPr>
              <w:t>Ф</w:t>
            </w:r>
            <w:r>
              <w:rPr>
                <w:sz w:val="22"/>
              </w:rPr>
              <w:t xml:space="preserve">иксация </w:t>
            </w:r>
            <w:r>
              <w:rPr>
                <w:sz w:val="22"/>
              </w:rPr>
              <w:t>на психосексуальных проблемах.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Проблемы, связанные с возможным регрессом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озможно </w:t>
            </w:r>
            <w:r>
              <w:rPr>
                <w:sz w:val="22"/>
              </w:rPr>
              <w:t>«застревание</w:t>
            </w:r>
            <w:r>
              <w:rPr>
                <w:sz w:val="22"/>
              </w:rPr>
              <w:t xml:space="preserve">» </w:t>
            </w:r>
            <w:r>
              <w:rPr>
                <w:sz w:val="22"/>
              </w:rPr>
              <w:t>на предыдущей стадии интеллектуального развития: отсутс</w:t>
            </w:r>
            <w:r>
              <w:rPr>
                <w:sz w:val="22"/>
              </w:rPr>
              <w:t>твие навыков логической пере</w:t>
            </w:r>
            <w:r>
              <w:rPr>
                <w:sz w:val="22"/>
              </w:rPr>
              <w:t>ра</w:t>
            </w:r>
            <w:r>
              <w:rPr>
                <w:sz w:val="22"/>
              </w:rPr>
              <w:t xml:space="preserve">ботки учебной и прочей информации, </w:t>
            </w:r>
            <w:r>
              <w:rPr>
                <w:sz w:val="22"/>
              </w:rPr>
              <w:t xml:space="preserve">несформированность способности к </w:t>
            </w:r>
            <w:r>
              <w:rPr>
                <w:sz w:val="22"/>
              </w:rPr>
              <w:t xml:space="preserve">формальным мыслительным операциям.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егресс </w:t>
            </w:r>
            <w:r>
              <w:rPr>
                <w:sz w:val="22"/>
              </w:rPr>
              <w:t>к предыдущим стадиям психосексуального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5" w:type="dxa"/>
            <w:gridSpan w:val="3"/>
          </w:tcPr>
          <w:p w:rsidR="00000000" w:rsidRDefault="002038CB">
            <w:pPr>
              <w:pStyle w:val="2"/>
              <w:jc w:val="center"/>
              <w:rPr>
                <w:i/>
              </w:rPr>
            </w:pPr>
            <w:r>
              <w:rPr>
                <w:i/>
              </w:rPr>
              <w:t>Направления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Профилактика отклонений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иагностика </w:t>
            </w:r>
            <w:r>
              <w:rPr>
                <w:sz w:val="22"/>
              </w:rPr>
              <w:t xml:space="preserve">эмоционально-личностного развития. 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 xml:space="preserve">онсультирование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проблемам саморазвития, самоконтроля, общения, при необходимости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психотерапевтическая </w:t>
            </w:r>
            <w:r>
              <w:rPr>
                <w:sz w:val="22"/>
              </w:rPr>
              <w:t>работа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Работа </w:t>
            </w:r>
            <w:r>
              <w:rPr>
                <w:b/>
                <w:i/>
                <w:sz w:val="22"/>
              </w:rPr>
              <w:t>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>социально-педагогических условий для полноценного общения школьников в учебных и вне</w:t>
            </w:r>
            <w:r>
              <w:rPr>
                <w:sz w:val="22"/>
              </w:rPr>
              <w:t xml:space="preserve">учебных ситуациях.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>в рамках учебного процесса возможностей</w:t>
            </w:r>
            <w:r>
              <w:rPr>
                <w:sz w:val="22"/>
              </w:rPr>
              <w:t xml:space="preserve"> для удовлетворения новых психологических потребностей школьников: в самопознании, общении, нравственной оценке собственного поведения и действий других людей и т.д. Консультирование педагогов и родителей по вопросам общения с подростками. Семейное консуль</w:t>
            </w:r>
            <w:r>
              <w:rPr>
                <w:sz w:val="22"/>
              </w:rPr>
              <w:t>тирование.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Коррекция случаев ребенка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иагностика </w:t>
            </w:r>
            <w:r>
              <w:rPr>
                <w:sz w:val="22"/>
              </w:rPr>
              <w:t>уровня сформированности логического мышление.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сихотерапевтическая </w:t>
            </w:r>
            <w:r>
              <w:rPr>
                <w:sz w:val="22"/>
              </w:rPr>
              <w:t>работа, консультирование по психосексуальным проблемам.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 xml:space="preserve">учебной среды, способствующей развитию мышления, прежде всего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становлению </w:t>
            </w:r>
            <w:r>
              <w:rPr>
                <w:sz w:val="22"/>
              </w:rPr>
              <w:t xml:space="preserve">формальных операций.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еме</w:t>
            </w:r>
            <w:r>
              <w:rPr>
                <w:sz w:val="22"/>
              </w:rPr>
              <w:t xml:space="preserve">йное </w:t>
            </w:r>
            <w:r>
              <w:rPr>
                <w:sz w:val="22"/>
              </w:rPr>
              <w:t>консультирование, консультирование и просвещение родителей по проблемам психосексуального развития подростков.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Развитие возрастных возможностей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бучение </w:t>
            </w:r>
            <w:r>
              <w:rPr>
                <w:sz w:val="22"/>
              </w:rPr>
              <w:t xml:space="preserve">навыкам самопознания и саморегуляции, </w:t>
            </w:r>
            <w:r>
              <w:rPr>
                <w:sz w:val="22"/>
              </w:rPr>
              <w:t xml:space="preserve">общения, самораскрытия и принятия других людей в процессе общения.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 xml:space="preserve">ачало </w:t>
            </w:r>
            <w:r>
              <w:rPr>
                <w:sz w:val="22"/>
              </w:rPr>
              <w:t xml:space="preserve">профориентационной </w:t>
            </w:r>
            <w:r>
              <w:rPr>
                <w:sz w:val="22"/>
              </w:rPr>
              <w:t xml:space="preserve">работы.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асширение </w:t>
            </w:r>
            <w:r>
              <w:rPr>
                <w:sz w:val="22"/>
              </w:rPr>
              <w:t>социального опыта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азвитие </w:t>
            </w:r>
            <w:r>
              <w:rPr>
                <w:sz w:val="22"/>
              </w:rPr>
              <w:t>интереса к собственной интеллектуальной деятельности и ее процесс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анализу,</w:t>
            </w:r>
            <w:r>
              <w:rPr>
                <w:sz w:val="22"/>
              </w:rPr>
              <w:t xml:space="preserve"> поиску наиболее оптимальных форм организации своей учебной деятельности.</w:t>
            </w:r>
            <w:r>
              <w:rPr>
                <w:sz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оздание </w:t>
            </w:r>
            <w:r>
              <w:rPr>
                <w:sz w:val="22"/>
              </w:rPr>
              <w:t>условий для изменения социального статуса старшек</w:t>
            </w:r>
            <w:r>
              <w:rPr>
                <w:sz w:val="22"/>
              </w:rPr>
              <w:t xml:space="preserve">лассников в школе: делегирование ответственности, наделение определенными правами.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остроение </w:t>
            </w:r>
            <w:r>
              <w:rPr>
                <w:sz w:val="22"/>
              </w:rPr>
              <w:t xml:space="preserve">учебного процесса, способствующего развитию интереса школьников к исследовательской деятельности, логической переработке информации. 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азвитие </w:t>
            </w:r>
            <w:r>
              <w:rPr>
                <w:sz w:val="22"/>
              </w:rPr>
              <w:t>учебной самостоятель</w:t>
            </w:r>
            <w:r>
              <w:rPr>
                <w:sz w:val="22"/>
              </w:rPr>
              <w:t>ности школьников в вопросах целеполагания и планирования учебной деятельности</w:t>
            </w:r>
          </w:p>
        </w:tc>
      </w:tr>
    </w:tbl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p w:rsidR="00000000" w:rsidRDefault="002038C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1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Возраст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15-16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pStyle w:val="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6946" w:type="dxa"/>
          </w:tcPr>
          <w:p w:rsidR="00000000" w:rsidRDefault="002038CB">
            <w:pPr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10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–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11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класс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Особенности возрастного периода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табильное </w:t>
            </w:r>
            <w:r>
              <w:rPr>
                <w:sz w:val="24"/>
              </w:rPr>
              <w:t>психическое</w:t>
            </w:r>
            <w:r>
              <w:rPr>
                <w:sz w:val="24"/>
              </w:rPr>
              <w:t xml:space="preserve"> развити</w:t>
            </w:r>
            <w:r>
              <w:rPr>
                <w:sz w:val="24"/>
              </w:rPr>
              <w:t>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Социально-педагогическая ситуация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анун </w:t>
            </w:r>
            <w:r>
              <w:rPr>
                <w:sz w:val="24"/>
              </w:rPr>
              <w:t>резкого изменения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 задачи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 сфере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достижение </w:t>
            </w:r>
            <w:r>
              <w:rPr>
                <w:sz w:val="24"/>
              </w:rPr>
              <w:t xml:space="preserve">стадии формальных операций.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рофессиональное </w:t>
            </w:r>
            <w:r>
              <w:rPr>
                <w:sz w:val="24"/>
              </w:rPr>
              <w:t>и личностно</w:t>
            </w:r>
            <w:r>
              <w:rPr>
                <w:sz w:val="24"/>
              </w:rPr>
              <w:t xml:space="preserve">е самоопределение.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сихологическая </w:t>
            </w:r>
            <w:r>
              <w:rPr>
                <w:sz w:val="24"/>
              </w:rPr>
              <w:t>готовность к принятию новой социальной роли и позиции.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Перспективные з</w:t>
            </w:r>
            <w:r>
              <w:rPr>
                <w:b/>
                <w:i/>
                <w:sz w:val="24"/>
              </w:rPr>
              <w:t>адачи развития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 xml:space="preserve">Становление личностной и гражданской позиции.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 xml:space="preserve">ормирование </w:t>
            </w:r>
            <w:r>
              <w:rPr>
                <w:sz w:val="24"/>
              </w:rPr>
              <w:t xml:space="preserve">чувства </w:t>
            </w:r>
            <w:r>
              <w:rPr>
                <w:sz w:val="24"/>
              </w:rPr>
              <w:t>значимости</w:t>
            </w:r>
            <w:r>
              <w:rPr>
                <w:sz w:val="24"/>
              </w:rPr>
              <w:t xml:space="preserve">, способности к </w:t>
            </w:r>
            <w:r>
              <w:rPr>
                <w:sz w:val="24"/>
              </w:rPr>
              <w:t>самообразованию</w:t>
            </w:r>
            <w:r>
              <w:rPr>
                <w:sz w:val="24"/>
              </w:rPr>
              <w:t xml:space="preserve"> и психологическому развитию.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отовность </w:t>
            </w:r>
            <w:r>
              <w:rPr>
                <w:sz w:val="24"/>
              </w:rPr>
              <w:t>к ответственным с</w:t>
            </w:r>
            <w:r>
              <w:rPr>
                <w:sz w:val="24"/>
              </w:rPr>
              <w:t>оциальным отношениям.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Проблемы, связанные с возм</w:t>
            </w:r>
            <w:r>
              <w:rPr>
                <w:b/>
                <w:i/>
                <w:sz w:val="24"/>
              </w:rPr>
              <w:t>ожными отклонениями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налогично </w:t>
            </w:r>
            <w:r>
              <w:rPr>
                <w:sz w:val="24"/>
              </w:rPr>
              <w:t xml:space="preserve">предыдущему возрастному этапу.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роме </w:t>
            </w:r>
            <w:r>
              <w:rPr>
                <w:sz w:val="24"/>
              </w:rPr>
              <w:t xml:space="preserve">того, </w:t>
            </w:r>
            <w:r>
              <w:rPr>
                <w:sz w:val="24"/>
              </w:rPr>
              <w:t>страх</w:t>
            </w:r>
            <w:r>
              <w:rPr>
                <w:sz w:val="24"/>
              </w:rPr>
              <w:t xml:space="preserve"> перед окончанием школы, необходимостью совершения </w:t>
            </w:r>
            <w:r>
              <w:rPr>
                <w:sz w:val="24"/>
              </w:rPr>
              <w:t>самостоятельного</w:t>
            </w:r>
            <w:r>
              <w:rPr>
                <w:sz w:val="24"/>
              </w:rPr>
              <w:t xml:space="preserve"> выбора, потеря временной перспективы развития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ориентация на настоящее и прошлое)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9" w:type="dxa"/>
            <w:gridSpan w:val="2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Проблемы, связанные с возможным регрессом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озможно </w:t>
            </w:r>
            <w:r>
              <w:rPr>
                <w:sz w:val="24"/>
              </w:rPr>
              <w:t>возвращение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одростковое</w:t>
            </w:r>
            <w:r>
              <w:rPr>
                <w:sz w:val="24"/>
              </w:rPr>
              <w:t>» состояние: отказ от принятия на себя ответственности за профессиональный выбор, стремление к социальным экспериментам, эмоциональная неустойчивость.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5" w:type="dxa"/>
            <w:gridSpan w:val="3"/>
          </w:tcPr>
          <w:p w:rsidR="00000000" w:rsidRDefault="002038CB">
            <w:pPr>
              <w:pStyle w:val="2"/>
              <w:jc w:val="center"/>
              <w:rPr>
                <w:i/>
              </w:rPr>
            </w:pPr>
            <w:r>
              <w:rPr>
                <w:i/>
              </w:rPr>
              <w:t>Направления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отклонений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онтроль </w:t>
            </w:r>
            <w:r>
              <w:rPr>
                <w:sz w:val="24"/>
              </w:rPr>
              <w:t xml:space="preserve">за эмоциональным </w:t>
            </w:r>
            <w:r>
              <w:rPr>
                <w:sz w:val="24"/>
              </w:rPr>
              <w:t>состоянием</w:t>
            </w:r>
            <w:r>
              <w:rPr>
                <w:sz w:val="24"/>
              </w:rPr>
              <w:t xml:space="preserve"> Ведение работы, направленной на расширение социального и</w:t>
            </w:r>
            <w:r>
              <w:rPr>
                <w:sz w:val="24"/>
              </w:rPr>
              <w:t xml:space="preserve"> личностного опыта, обучение умению делать выбор, обозначению и расширению жизненных перспектив.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Работа </w:t>
            </w:r>
            <w:r>
              <w:rPr>
                <w:b/>
                <w:i/>
                <w:sz w:val="24"/>
              </w:rPr>
              <w:t>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оздание </w:t>
            </w:r>
            <w:r>
              <w:rPr>
                <w:sz w:val="24"/>
              </w:rPr>
              <w:t xml:space="preserve">условий для проявления учебной и общественной самостоятельности школьников, расширение сферы их ответственности и прав. </w:t>
            </w:r>
            <w:r>
              <w:rPr>
                <w:sz w:val="24"/>
              </w:rPr>
              <w:t>Э</w:t>
            </w:r>
            <w:r>
              <w:rPr>
                <w:sz w:val="24"/>
              </w:rPr>
              <w:t xml:space="preserve">моциональная </w:t>
            </w:r>
            <w:r>
              <w:rPr>
                <w:sz w:val="24"/>
              </w:rPr>
              <w:t>поддержка со</w:t>
            </w:r>
            <w:r>
              <w:rPr>
                <w:sz w:val="24"/>
              </w:rPr>
              <w:t xml:space="preserve"> сто</w:t>
            </w:r>
            <w:r>
              <w:rPr>
                <w:sz w:val="24"/>
              </w:rPr>
              <w:t>роны взрослых.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 случаев ребенка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 xml:space="preserve">Работа, направленная на снятие страхов перед будущим и на отреагирование чувств.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рганизация </w:t>
            </w:r>
            <w:r>
              <w:rPr>
                <w:sz w:val="24"/>
              </w:rPr>
              <w:t xml:space="preserve">групп психологической взаимоподдержки старшеклассников.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бучение </w:t>
            </w:r>
            <w:r>
              <w:rPr>
                <w:sz w:val="24"/>
              </w:rPr>
              <w:t>навыкам саморегуляции.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емейное </w:t>
            </w:r>
            <w:r>
              <w:rPr>
                <w:sz w:val="24"/>
              </w:rPr>
              <w:t xml:space="preserve">консультирование.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ценка </w:t>
            </w:r>
            <w:r>
              <w:rPr>
                <w:sz w:val="24"/>
              </w:rPr>
              <w:t xml:space="preserve">социально- педагогической </w:t>
            </w:r>
            <w:r>
              <w:rPr>
                <w:sz w:val="24"/>
              </w:rPr>
              <w:t>ситуации</w:t>
            </w:r>
            <w:r>
              <w:rPr>
                <w:sz w:val="24"/>
              </w:rPr>
              <w:t xml:space="preserve"> с точки зрения ее соответствия личностному развитию и волевым возможностям учащихся.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асширение </w:t>
            </w:r>
            <w:r>
              <w:rPr>
                <w:sz w:val="24"/>
              </w:rPr>
              <w:t>социального опыта подростков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59" w:type="dxa"/>
            <w:vMerge w:val="restart"/>
            <w:textDirection w:val="btLr"/>
          </w:tcPr>
          <w:p w:rsidR="00000000" w:rsidRDefault="002038CB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 возрастных возможностей</w:t>
            </w: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ребенком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рофориентационная </w:t>
            </w:r>
            <w:r>
              <w:rPr>
                <w:sz w:val="24"/>
              </w:rPr>
              <w:t xml:space="preserve">работа. Развитие навыков </w:t>
            </w:r>
            <w:r>
              <w:rPr>
                <w:sz w:val="24"/>
              </w:rPr>
              <w:t>ближайшего</w:t>
            </w:r>
            <w:r>
              <w:rPr>
                <w:sz w:val="24"/>
              </w:rPr>
              <w:t xml:space="preserve"> целеполагания.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оздание </w:t>
            </w:r>
            <w:r>
              <w:rPr>
                <w:sz w:val="24"/>
              </w:rPr>
              <w:t xml:space="preserve">психологически </w:t>
            </w:r>
            <w:r>
              <w:rPr>
                <w:sz w:val="24"/>
              </w:rPr>
              <w:t>безопасных</w:t>
            </w:r>
            <w:r>
              <w:rPr>
                <w:sz w:val="24"/>
              </w:rPr>
              <w:t xml:space="preserve"> условий для </w:t>
            </w:r>
            <w:r>
              <w:rPr>
                <w:sz w:val="24"/>
              </w:rPr>
              <w:t>«прим</w:t>
            </w:r>
            <w:r>
              <w:rPr>
                <w:sz w:val="24"/>
              </w:rPr>
              <w:t>ерки</w:t>
            </w:r>
            <w:r>
              <w:rPr>
                <w:sz w:val="24"/>
              </w:rPr>
              <w:t>» и проживания новых социальных ролей и позиций.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" w:type="dxa"/>
            <w:vMerge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610" w:type="dxa"/>
          </w:tcPr>
          <w:p w:rsidR="00000000" w:rsidRDefault="002038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социально- педагогической ситуацией</w:t>
            </w:r>
          </w:p>
        </w:tc>
        <w:tc>
          <w:tcPr>
            <w:tcW w:w="6946" w:type="dxa"/>
          </w:tcPr>
          <w:p w:rsidR="00000000" w:rsidRDefault="002038C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оздание </w:t>
            </w:r>
            <w:r>
              <w:rPr>
                <w:sz w:val="24"/>
              </w:rPr>
              <w:t xml:space="preserve">условий для проявления максимальной самостоятельности школьников в учебной и общественной жизни школы.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редоставление </w:t>
            </w:r>
            <w:r>
              <w:rPr>
                <w:sz w:val="24"/>
              </w:rPr>
              <w:t>возможностей для совершения серьезных жизненных выборов, принятия ответствен</w:t>
            </w:r>
            <w:r>
              <w:rPr>
                <w:sz w:val="24"/>
              </w:rPr>
              <w:t xml:space="preserve">ности за себя и других людей. Построение учебного процесса на принципах, способствующих формированию приемов гипотеко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дедуктивного </w:t>
            </w:r>
            <w:r>
              <w:rPr>
                <w:sz w:val="24"/>
              </w:rPr>
              <w:t>мышления.</w:t>
            </w:r>
          </w:p>
        </w:tc>
      </w:tr>
    </w:tbl>
    <w:p w:rsidR="002038CB" w:rsidRDefault="002038CB">
      <w:pPr>
        <w:rPr>
          <w:sz w:val="28"/>
        </w:rPr>
      </w:pPr>
    </w:p>
    <w:sectPr w:rsidR="002038CB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25"/>
    <w:rsid w:val="002038CB"/>
    <w:rsid w:val="00D0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Возраст</vt:lpstr>
    </vt:vector>
  </TitlesOfParts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Возраст</dc:title>
  <dc:creator>Ѓ®Ј¤ ­®ў  …«Ґ­</dc:creator>
  <cp:lastModifiedBy>Алескандр</cp:lastModifiedBy>
  <cp:revision>2</cp:revision>
  <dcterms:created xsi:type="dcterms:W3CDTF">2020-04-14T16:49:00Z</dcterms:created>
  <dcterms:modified xsi:type="dcterms:W3CDTF">2020-04-14T16:49:00Z</dcterms:modified>
</cp:coreProperties>
</file>